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5C7409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C7409" w:rsidRDefault="00B72ABB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5C7409" w:rsidRDefault="00B72ABB">
            <w:pPr>
              <w:spacing w:after="0" w:line="240" w:lineRule="auto"/>
            </w:pPr>
            <w:r>
              <w:t>13949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C7409" w:rsidRDefault="00B72ABB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5C7409" w:rsidRDefault="00B72ABB">
            <w:pPr>
              <w:spacing w:after="0" w:line="240" w:lineRule="auto"/>
            </w:pPr>
            <w:r>
              <w:t>O.Š. ANTUNA I IVANA KUKULJEVIĆA, VARAŽDINSKE TOPLICE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C7409" w:rsidRDefault="00B72ABB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5C7409" w:rsidRDefault="00B72ABB">
            <w:pPr>
              <w:spacing w:after="0" w:line="240" w:lineRule="auto"/>
            </w:pPr>
            <w:r>
              <w:t>31</w:t>
            </w:r>
          </w:p>
        </w:tc>
      </w:tr>
    </w:tbl>
    <w:p w:rsidR="005C7409" w:rsidRDefault="00B72ABB">
      <w:r>
        <w:br/>
      </w:r>
    </w:p>
    <w:p w:rsidR="005C7409" w:rsidRDefault="00B72ABB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5C7409" w:rsidRDefault="00B72ABB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5C7409" w:rsidRDefault="00B72ABB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1.617.530,29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1.677.601,80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103,7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1.529.747,96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1.759.799,84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115,0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5C740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82.198,04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24.739,70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35.608,80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143,9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5C740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24.739,70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35.608,80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143,9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</w:t>
            </w:r>
            <w:r>
              <w:rPr>
                <w:sz w:val="18"/>
              </w:rPr>
              <w:t xml:space="preserve">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5C740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5C740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117.806,84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U razdoblju od 01. siječnja do 31. prosinca 2025. godine ukupni prihodi poslovanja ostvareni su u iznosu od 1.677.601,80 eura. Najznačajnije povećanje prihoda poslovanja ostvareno je iz nadležnog proračuna za financiranje rashoda za nabavu nefinancijske im</w:t>
      </w:r>
      <w:r>
        <w:t>ovine-Varaždinske županije zbog zamjene termostatskih ventila u matičnoj školi.  Najznačajnije smanjenje prihoda poslovanja bilježi se na prihodima od prodaje proizvoda i robe te pruženih usluga, prihodi od donacija. U razdoblju od 01. siječnja do 31. pros</w:t>
      </w:r>
      <w:r>
        <w:t xml:space="preserve">inca 2025. godine ukupni rashodi </w:t>
      </w:r>
      <w:r>
        <w:lastRenderedPageBreak/>
        <w:t xml:space="preserve">poslovanja ostvareni su u iznosu od 1.759.799,84 eura. Najznačajnije povećanje rashoda evidentirano je na ostalim nespomenutim uslugama zbog ugradnje video nadzora, video </w:t>
      </w:r>
      <w:proofErr w:type="spellStart"/>
      <w:r>
        <w:t>interfona</w:t>
      </w:r>
      <w:proofErr w:type="spellEnd"/>
      <w:r>
        <w:t xml:space="preserve"> te zbog usluge kontrole pristupa u matično</w:t>
      </w:r>
      <w:r>
        <w:t>j školi. Najznačajnije smanjenje rashoda poslovanja bilježi se na uslugama promidžbe i informiranja zbog manje potrebe za istima. U navedenom razdoblju nema ostvarenih prihoda od prodaje nefinancijske imovine, dok su rashodi za nabavu nefinancijske imovine</w:t>
      </w:r>
      <w:r>
        <w:t xml:space="preserve"> ostvareni u iznosu od 35.608,80 eura. Navedeni rashodi odnose se na nabavku termostatskih ventila u matičnoj školi, kupnju računala za tajništvo, fotokopirnog aparata za tajništvo, projektora za učionice, nabavku telefonske centrale kupnju bijele ploče za</w:t>
      </w:r>
      <w:r>
        <w:t xml:space="preserve"> kabinet fizike, knjige za lektiru te kupnju udžbenika za sve učenike škole. U navedenom razdoblju nije bilo ostvarenih primitaka i izdataka od financijske imovine i zaduženja. U razdoblju od 01. siječnja do 31. prosinca 2025. godine ostvaren je manjak pri</w:t>
      </w:r>
      <w:r>
        <w:t>hoda poslovanja od 82.198,04 eura te manjak prihoda od nefinancijske imovine u iznosu od 35.608,80 eura, slijedom čega je na kraju izvještajnog razdoblja ostvaren ukupan manjak prihoda i primitaka u iznosu od 121.014,07 eura.</w:t>
      </w:r>
    </w:p>
    <w:p w:rsidR="005C7409" w:rsidRDefault="00B72ABB">
      <w:r>
        <w:t>Škola nema  popis ugovornih od</w:t>
      </w:r>
      <w:r>
        <w:t>nosa i slično koji uz ispunjenje određenih uvjeta, mogu postati obveza ili imovina ( dana kreditna pisma, hipoteke i slično ).</w:t>
      </w:r>
    </w:p>
    <w:p w:rsidR="005C7409" w:rsidRDefault="00B72ABB">
      <w:r>
        <w:t>Škola također nema sudskih sporova.</w:t>
      </w:r>
    </w:p>
    <w:p w:rsidR="005C7409" w:rsidRDefault="00B72ABB">
      <w:r>
        <w:br/>
      </w:r>
    </w:p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</w:t>
            </w:r>
            <w:r>
              <w:rPr>
                <w:b/>
                <w:sz w:val="18"/>
              </w:rPr>
              <w:t>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između proračunskih korisnika istog proračuna 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2.315,01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11.197,64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483,7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Prijenos između proračunskih korisnika istog proračuna je veći zbog toga što je  škola ušla u program "Mi možemo" - asistenti u nastavi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</w:t>
            </w:r>
            <w:r>
              <w:rPr>
                <w:b/>
                <w:sz w:val="18"/>
              </w:rPr>
              <w:t>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5.107,38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9541,2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Tekući prijenos između proračunskih korisnika istog proračuna je veći zbog toga što je škola ušla u projekt "Mi možemo" - asistenti u nastavi.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2.261,48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6.090,26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269,3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Tekući prijenos između proračunskih korisnika istog proračuna temeljem prijenosa EU sredstava je veći zbog projekta "Mi možemo" - asistenti u nastavi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</w:t>
            </w:r>
            <w:r>
              <w:rPr>
                <w:b/>
                <w:sz w:val="18"/>
              </w:rPr>
              <w:t>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306,4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Prihodi od imovine su veći zbor veće uplate pasivne kamate.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financijske imovine (šifre 6412 do 6419)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306,4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Prihodi od imovine su veći zbor veće uplate pasivne kamate.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306,4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Prihodi od imovine su veći zbor veće uplate pasivne kamate.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proizvoda </w:t>
            </w:r>
            <w:r>
              <w:rPr>
                <w:sz w:val="18"/>
              </w:rPr>
              <w:t>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7.070,02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5.631,95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79,7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Prihodi od prodaje proizvoda i robe te pružanih usluga, prihodi od donacija su manji zbog manje uplati istih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</w:t>
            </w:r>
            <w:r>
              <w:rPr>
                <w:b/>
                <w:sz w:val="18"/>
              </w:rPr>
              <w:t xml:space="preserve">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4.277,76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3.097,50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72,4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Prihodi od prodaje proizvoda i robe te pružanih usluga, prihodi od donacija su manji zbog manje uplati istih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</w:t>
            </w:r>
            <w:r>
              <w:rPr>
                <w:b/>
                <w:sz w:val="18"/>
              </w:rPr>
              <w:t>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111.347,87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137.769,39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123,7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 xml:space="preserve">Prihodi iz </w:t>
      </w:r>
      <w:proofErr w:type="spellStart"/>
      <w:r>
        <w:t>nadlažnog</w:t>
      </w:r>
      <w:proofErr w:type="spellEnd"/>
      <w:r>
        <w:t xml:space="preserve"> proračuna i od HZZO-a na temelju ugovornih obveza je veći zbog veće uplate istih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iz nadležnog proračuna za financiranje redovne djelatnosti proračunskih korisnika (šifre </w:t>
            </w:r>
            <w:r>
              <w:rPr>
                <w:sz w:val="18"/>
              </w:rPr>
              <w:t>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111.347,87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137.769,39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123,7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 xml:space="preserve">Prihodi iz </w:t>
      </w:r>
      <w:proofErr w:type="spellStart"/>
      <w:r>
        <w:t>nadlažnog</w:t>
      </w:r>
      <w:proofErr w:type="spellEnd"/>
      <w:r>
        <w:t xml:space="preserve"> proračuna za financiranje redovne djelatnosti proračunskih korisnika je veći zbog veće uplate istih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107.769,62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118.659,09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110,1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 xml:space="preserve">Prihodi iz </w:t>
      </w:r>
      <w:proofErr w:type="spellStart"/>
      <w:r>
        <w:t>nadlažnog</w:t>
      </w:r>
      <w:proofErr w:type="spellEnd"/>
      <w:r>
        <w:t xml:space="preserve"> proračuna za financiranje redovne djelatnosti proračunskih korisnika je veći zbog veće uplate istih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</w:t>
            </w:r>
            <w:r>
              <w:rPr>
                <w:b/>
                <w:sz w:val="18"/>
              </w:rPr>
              <w:t>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3.578,25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19.110,30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534,1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 xml:space="preserve">Prihodi iz </w:t>
      </w:r>
      <w:proofErr w:type="spellStart"/>
      <w:r>
        <w:t>nadlažnog</w:t>
      </w:r>
      <w:proofErr w:type="spellEnd"/>
      <w:r>
        <w:t xml:space="preserve"> proračuna za financiranje rashoda za nabavu nefinancijske imovine je veći zbog veće uplate istih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1.529.747,96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1.759.799,84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115,0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Rashodi poslovanja su veći zbog veće potrošnje istih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1.245.872,83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1.476.016,28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118,5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Rashodi za zaposlene su veći zbog povećanja osnovice plaće 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1.024.261,55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1.223.342,88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119,4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Rashodi za zaposlene su veći zbog povećanja osnovice plaće 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1.001.995,29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1.200.116,36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119,8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Rashodi za zaposlene su veći zbog povećanja osnovice plaće 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posebne uvjete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12.252,03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110,6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Povećanje je nastala zbog povećanja broja učenika koji se školuju po prilagođenom programu i većeg fonda sati u kombiniranim razrednim odjelima.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168.892,02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199.721,81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118,3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Doprinosi za plaće su veći zbog povećanja osnovice plaće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Doprinosi za obvezno </w:t>
            </w:r>
            <w:r>
              <w:rPr>
                <w:sz w:val="18"/>
              </w:rPr>
              <w:t>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168.892,02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199.721,81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118,3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doprinosi za obvezno zdravstveno osiguranje su veći zbog povećanja osnovice plaće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4.450,31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3.789,78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85,2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službena putovanja su manja zbog manje potrebe za istima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</w:t>
            </w:r>
            <w:r>
              <w:rPr>
                <w:b/>
                <w:sz w:val="18"/>
              </w:rPr>
              <w:t xml:space="preserve">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1.109,20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2.268,82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204,5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Stručno usavršavanje zaposlenika je veće zbog veće potrebe istih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3.411,24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2.753,70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80,7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Ostale naknade troškova zaposlenika su manje zbog manje potrebe za istima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Materijal i </w:t>
            </w:r>
            <w:r>
              <w:rPr>
                <w:sz w:val="18"/>
              </w:rPr>
              <w:t>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2.660,68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4.529,67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170,2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lastRenderedPageBreak/>
        <w:t>Materijal i dijelovi za tekuće i investicijsko održavanje su veći zbog popravka instalacija grijanja u matičnoj školi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874,22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1.354,68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155,0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 xml:space="preserve">Sitni inventar i </w:t>
      </w:r>
      <w:proofErr w:type="spellStart"/>
      <w:r>
        <w:t>autogume</w:t>
      </w:r>
      <w:proofErr w:type="spellEnd"/>
      <w:r>
        <w:t xml:space="preserve"> su veće zbog kupnje zimskih guma za službeni auto te zbog kupnje zdjela za školsku kuhinju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571,43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52,5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službena, radna i zaštitna odjeća i obuća su manje zbog manje potrebe za istima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29.522,12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47.276,63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160,1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Rashodi za usluge su veći zbog veće potrebe za istima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2.799,12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3.118,40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111,4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Usluge telefona su veće zbog veće potrebe za istim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lastRenderedPageBreak/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Usluge tekućeg i investicijskog </w:t>
            </w:r>
            <w:r>
              <w:rPr>
                <w:sz w:val="18"/>
              </w:rPr>
              <w:t>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4.754,85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16.970,42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356,9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Usluge tekućeg i investicijskog održavanja su veće zbog ugradnje video nadzora u matičnoj školi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1.137,73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14,6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Usluge promidžbe i informiranja su manje zbog manje potrebe za istima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8.912,74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5.538,58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62,1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Komunalne usluge su manje zbog manje potrebe za istima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2.987,68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2.186,84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73,2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Intelektualne i osobne usluge su manje zbog manje potrebe za istima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lastRenderedPageBreak/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1.817,95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1.556,13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85,6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Računalne usluge su manje zbog manje potrebe za istima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1.008,30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11.500,51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1140,6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Ostale usluge su veće zbog ugradnje video nadzora u matičnoj školi škole, kontrole plinskog kotla u kotlovnici i kuhinji matične škole te usluge kontrole pristupa u matičnoj školi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61,2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Reprezentacija je manja zbog manje potrebe za istom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Članarine i norme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117,0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Članarine i norme su veće zbog veće uplate istih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lastRenderedPageBreak/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</w:t>
            </w:r>
            <w:r>
              <w:rPr>
                <w:b/>
                <w:sz w:val="18"/>
              </w:rPr>
              <w:t xml:space="preserve">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2.670,30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2.061,29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77,2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Pristojbe i naknade su manje zbog manje potrebe za istima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7.042,23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7.492,53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106,4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Ostali nespomenuti rashodi poslovanja su veći zbog veće potrošnje istih 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Financijski </w:t>
            </w:r>
            <w:r>
              <w:rPr>
                <w:sz w:val="18"/>
              </w:rPr>
              <w:t>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2.004,91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727,25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36,3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Financijski rashodi su manji zbog manje potrebe za istima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2.004,91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727,25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36,3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Ostali financijski rashodi su manji zbog manje potreba za istima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1.359,25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727,25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53,5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lastRenderedPageBreak/>
        <w:t>Bankarske usluge i usluge platnog prometa su manji zbog manje potrebe za istima</w:t>
      </w:r>
    </w:p>
    <w:p w:rsidR="005C7409" w:rsidRDefault="00B72ABB">
      <w:r>
        <w:t> 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 xml:space="preserve">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na temelju osiguranja i druge naknade (šifre 371+372)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48.455,71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34.480,54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71,2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Naknade građanima i kućanstvima na temelju osiguranja i druge naknade su manje zbog manje potrebe za istima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građanima i kućanstvima iz proračuna (šifre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48.455,71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34.480,54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71,2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Ostale naknade građanima i kućanstvima iz proračuna su manje zbog manje potrebe za istima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48.455,71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34.480,54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71,2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Naknade građanima i kućanstvima u naravi su manje zbog manje potrebe za istima</w:t>
      </w:r>
    </w:p>
    <w:p w:rsidR="005C7409" w:rsidRDefault="00B72ABB">
      <w:r>
        <w:t> 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5C740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Ukupni </w:t>
            </w:r>
            <w:r>
              <w:rPr>
                <w:sz w:val="18"/>
              </w:rPr>
              <w:t>rashodi poslovanja (šifre 3-Z003+Z004)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1.529.747,96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1.759.799,84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115,0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Ukupni rashod poslovanja su veći zbog veće potrošnje istih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lastRenderedPageBreak/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i pruženih usluga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251,4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 xml:space="preserve">Prihodi od prodaje proizvoda i robe i pruženih </w:t>
      </w:r>
      <w:proofErr w:type="spellStart"/>
      <w:r>
        <w:t>isluga</w:t>
      </w:r>
      <w:proofErr w:type="spellEnd"/>
      <w:r>
        <w:t xml:space="preserve"> - nenaplaćeni su veći zbog toga što nisu plaćeni svi izlazni računu za dvoranu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</w:t>
            </w:r>
            <w:r>
              <w:rPr>
                <w:b/>
                <w:sz w:val="18"/>
              </w:rPr>
              <w:t>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24.739,70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35.608,80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143,9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Rashodi za nabavku nefinancijske imovine su veći zbog ugradnje termostatskih ventila u matičnoj školi te većom potrebom za udžbenicima 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13.364,70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20.624,32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154,3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Rashodi za nabavku proizvedene dugotrajne imovine su veći zbog ugradnje termostatskih ventila u matičnoj školi te većom potrebom za udžbenicima 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</w:t>
            </w:r>
            <w:r>
              <w:rPr>
                <w:b/>
                <w:sz w:val="18"/>
              </w:rPr>
              <w:t>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10.945,56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6.434,58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58,8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Postrojenje i oprema su manji zbog manje kupnje potrebe za istima 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lastRenderedPageBreak/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1.822,00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3.379,00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185,5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Uredska oprema i namještaj su veći zbog kupnje računala i fotokopirnog aparata za tajništvo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9.123,56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3,5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Zbog manje potrebe u odnosu na prošlu godinu , rashodi su u ovoj godini manji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Knjige, umjetnička djela i ostale izložbene vrijednosti (šifre 4241 do 4244)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2.091,14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14.189,74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678,6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Knjige, umjetnička djela i ostale izložbe vrijednosti su veće zbog veće potrebe kupnje udžbenika za učenike škole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</w:t>
            </w:r>
            <w:r>
              <w:rPr>
                <w:b/>
                <w:sz w:val="18"/>
              </w:rPr>
              <w:t>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2.091,14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14.189,74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678,6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Knjige su veće zbog veće potrebe kupnje udžbenika za učenike škole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lastRenderedPageBreak/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dodatna ulaganja na nefinancijskoj imovini (šifre 451 do 454)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11.375,00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14.984,48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131,7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Rashodi za dodatna ulaganja na nefinancijskoj imovini su veći zbog kupnje termostatskih ventila u matičnoj školi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</w:t>
            </w:r>
            <w:r>
              <w:rPr>
                <w:b/>
                <w:sz w:val="18"/>
              </w:rPr>
              <w:t>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11.375,00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14.984,48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131,7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Dodatna ulaganja na građevinskim objektima su veći zbog kupnje termostatskih ventila u matičnoj školi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5C740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24.739,70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35.608,80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143,9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Manjak prihoda pokrit će se priljevom sredstava u siječnju 2026. godine za isplatu plaća, prehranu učenika što financira MZOM te pokriće metodološkog manjak decentraliziranih sredstava isto uplatom u siječnju 2026. godine.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5C740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117.806,84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Manjak prihoda poslovanja prikazanog u knjigovodstvu pokrit će se u siječnju uplatom sredstava iz Županije-metodološki manjak sredstava u iznosu od -4.058,46 € (računi za redovno poslovanje koji su pristigli u mjesecu siječnju te isplatom plaće za asistent</w:t>
      </w:r>
      <w:r>
        <w:t>a u nastavi po projektu „Mi možemo“) te uplatom MZOM-metodološki manjak sredstava u iznosu od -131.201,34 € ( za prehranu učenika i isplate plaća za sve zaposlenike škole ).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 9222x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- preneseni (šifre 92221+92222-92211-92212)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9221x,9222x MP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66.212,96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3.207,23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4,8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Manjak prihoda - preneseni je puno manji na prethodnu godinu zbog pokrića nastalog manjka u tekućoj godini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</w:t>
            </w:r>
            <w:r>
              <w:rPr>
                <w:b/>
                <w:sz w:val="18"/>
              </w:rPr>
              <w:t>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96, 97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i od prodaje nefinancijske imovine - nenaplaćeni (šifre 96+97)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556,80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125.082,01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 xml:space="preserve">Obračunati prihodi poslovanja i od prodaje nefinancijske imovine - nenaplaćeni su veći zbog specifičnosti knjiženja metodološkog manjka decentraliziranih sredstava te </w:t>
      </w:r>
      <w:proofErr w:type="spellStart"/>
      <w:r>
        <w:t>sredsrtava</w:t>
      </w:r>
      <w:proofErr w:type="spellEnd"/>
      <w:r>
        <w:t xml:space="preserve"> MZOM za isplatu plaće svim djelatnicima škole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5C740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I PRIMICI (šifre X067+8)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X678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1.617.530,29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1.677.601,80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103,7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Ukupni prihodi i primici su manji zbog manje uplate istih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61.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5C740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UKUPNI RASHODI I IZDACI (šifre </w:t>
            </w:r>
            <w:r>
              <w:rPr>
                <w:sz w:val="18"/>
              </w:rPr>
              <w:t>Y034+5)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Y345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1.554.487,66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1.795.408,64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115,5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Ukupni rashodi i izdaci su veći zbog veće potrošnje istih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lastRenderedPageBreak/>
        <w:t>Bilješka 62.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5C740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117.806,84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Manjak prihoda poslovanja prikazanog u knjigovodstvu pokrit će se u siječnju uplatom sredstava iz Županije-metodološki manjak sredstava u iznosu od -4.058,46 € (računi za redovno poslovanje koji su pristigli u mjesecu siječnju te isplatom plaće za asistent</w:t>
      </w:r>
      <w:r>
        <w:t>a u nastavi po projektu „Mi možemo“) te uplatom MZOM-metodološki manjak sredstava u iznosu od -131.201,34 € ( za prehranu učenika i isplate plaća za sve zaposlenike škole ).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63.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</w:t>
            </w:r>
            <w:r>
              <w:rPr>
                <w:b/>
                <w:sz w:val="18"/>
              </w:rPr>
              <w:t>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9222-9221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- preneseni (šifre '9221x,9222x MP' - '9221x,9222x VP' + 92223 - 92213)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9222-9221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66.212,96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3.207,23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4,8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Manjak prihoda poslovanja prikazanog u knjigovodstvu pokrit će se u siječnju uplatom sredstava iz Županije-metodološki manjak sredstava u iznosu od -4.058,46 € (računi za redovno poslovanje koji su pristigli u mjesecu siječnju te isplatom plaće za asistent</w:t>
      </w:r>
      <w:r>
        <w:t>a u nastavi po projektu „Mi možemo“) te uplatom MZOM-metodološki manjak sredstava u iznosu od -131.201,34 € ( za prehranu učenika i isplate plaća za sve zaposlenike škole ).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64.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</w:t>
            </w:r>
            <w:r>
              <w:rPr>
                <w:b/>
                <w:sz w:val="18"/>
              </w:rPr>
              <w:t>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5C740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3.170,33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121.014,07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3817,1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Manjak prihoda poslovanja prikazanog u knjigovodstvu pokrit će se u siječnju uplatom sredstava iz Županije-metodološki manjak sredstava u iznosu od -4.058,46 € (računi za redovno poslovanje koji su pristigli u mjesecu siječnju te isplatom plaće za asistent</w:t>
      </w:r>
      <w:r>
        <w:t>a u nastavi po projektu „Mi možemo“) te uplatom MZOM-metodološki manjak sredstava u iznosu od -131.201,34 € ( za prehranu učenika i isplate plaća za sve zaposlenike škole ).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lastRenderedPageBreak/>
        <w:t>Bilješka 65.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</w:t>
            </w:r>
            <w:r>
              <w:rPr>
                <w:b/>
                <w:sz w:val="18"/>
              </w:rPr>
              <w:t>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početku izvještajnog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13.042,57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22.081,11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169,3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Stanje novčanih sredstava na početku izvještajnog razdoblja su veća od prošle godine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66.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11-dugov.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priljevi na novčane račune i blagajne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11-dugov.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428.530,42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268.378,64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62,6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Ukupan priljev na novčane račune i blagajne je manji od prošle godine zbog manje priljeva 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67.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11-potraž.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odljevi s novčanih računa i blagajni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11-potraž.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419.491,88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261.110,55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62,2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Ukupni odljevi s novčanih računa i blagajni su manji od prošle godine zbog manje priljeva 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68.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22.081,11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29.349,20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132,9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Stanje novčanih sredstava na kraju izvještajnog razdoblja je veći od prošle godine zbog većeg priljeva 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lastRenderedPageBreak/>
        <w:t>Bilješka 69.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Otpremnine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2.260,94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3.365,79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148,9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Otpremnine su veće zbog većeg isplata istih 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70.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bolest, invalidnost i smrtni slučaj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3.914,25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2.207,20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56,4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Naknade za bolest, invalidnost i smrtni slučaj su manje zbog manje isplate istih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71.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Obvezni i preventivni zdravstveni pregledi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4.780,41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5.422,24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113,4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Obvezni i preventivni zdravstveni pregledi zaposlenika su veći zbog većeg broja radnika škole na zdravstveni pregled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72.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Novčana naknada poslodavca zbog nezapošljavanja osoba s invaliditetom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2.296,00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1.773,23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77,2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Novčana naknada poslodavca zbog nezapošljavanja osoba s invaliditetom je manja zbog zapošljavanja osobe sa invaliditetom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lastRenderedPageBreak/>
        <w:t>Bilješka 73.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</w:t>
            </w:r>
            <w:r>
              <w:rPr>
                <w:b/>
                <w:sz w:val="18"/>
              </w:rPr>
              <w:t>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iz proračuna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48.455,71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34.480,54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71,2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Ostale naknade građanima i kućanstvima iz proračuna su manje zbog manje potrebe za istima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74.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Ispravak vrijednosti </w:t>
            </w:r>
            <w:proofErr w:type="spellStart"/>
            <w:r>
              <w:rPr>
                <w:sz w:val="18"/>
              </w:rPr>
              <w:t>neproizvedene</w:t>
            </w:r>
            <w:proofErr w:type="spellEnd"/>
            <w:r>
              <w:rPr>
                <w:sz w:val="18"/>
              </w:rPr>
              <w:t xml:space="preserve"> dugotrajne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 xml:space="preserve">Ispravak vrijednosti </w:t>
      </w:r>
      <w:proofErr w:type="spellStart"/>
      <w:r>
        <w:t>neproizvedene</w:t>
      </w:r>
      <w:proofErr w:type="spellEnd"/>
      <w:r>
        <w:t xml:space="preserve"> dugotrajne imovine ispravljen po prosječnim godišnjim stopama linearnom metodom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75.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0221 do 0228 - 02922)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51.475,02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33.854,29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65,8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Smanjenje bilježimo zbog manje nabave opreme.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76.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 i 02924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Knjige, umjetnička djela i ostale izložbene vrijednosti (šifre 0241 do 0244 - 02924)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 i 02924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8.000,88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4.856,43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60,7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Knjige, umjetnička djela i ostale izložbene vrijednosti su manje zbog manje potrebe za istima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lastRenderedPageBreak/>
        <w:t>Bilješka 77.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69.857,53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84.142,27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120,4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Došlo je do povećanja nabave udžbenika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78.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knjiga, umjetničkih djela i ostalih izložbenih vrijednosti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69.950,70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87.379,89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124,9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Došlo je do povećanja nabave udžbenika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79.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višegodišnjih nasada i osnovnog stada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250,0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Ispravak vrijednosti višegodišnjih nasada i osnovnog stada je veći zbog veće amortizacije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80.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 i 02926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Nematerijalna proizvedena imovina (šifre 0261 do </w:t>
            </w:r>
            <w:r>
              <w:rPr>
                <w:sz w:val="18"/>
              </w:rPr>
              <w:t>0264 - 02926)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 i 02926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947,31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3.031,39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320,0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Zbog većeg obračuna amortizacije došlo je do povećanja indeksa ispravka vrijednosti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81.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Financijska </w:t>
            </w:r>
            <w:r>
              <w:rPr>
                <w:sz w:val="18"/>
              </w:rPr>
              <w:t>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132.638,96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161.462,38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121,7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lastRenderedPageBreak/>
        <w:t>Financijska imovina je veća zbog većeg priljeva i odljeva financijskih sredstava 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82.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i 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22.081,11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29.349,20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132,9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Novac u banci i blagajni je veći zbog većeg priljeva i odljeva financijskih sredstava 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83.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(šifre 1111 do 1114)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22.081,11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29.349,20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132,9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Novac u banci  je veći zbog većeg priljeva i odljeva financijskih sredstava 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84.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na računu kod tuzemnih poslovnih 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22.081,11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29.349,20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132,9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Novac na računu kod tuzemnih poslovnih banaka je veći zbog većeg priljeva i odljeva financijskih sredstava 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85.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>, od zaposlenih te za više plaćene poreze i ostalo (šifre 122 do 124 - 125 + 129)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4.259,97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7.031,17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165,1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 xml:space="preserve">Potraživanja su veća na </w:t>
      </w:r>
      <w:proofErr w:type="spellStart"/>
      <w:r>
        <w:t>prethodu</w:t>
      </w:r>
      <w:proofErr w:type="spellEnd"/>
      <w:r>
        <w:t xml:space="preserve"> godinu zbog potraživanja refundacije bolovanja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lastRenderedPageBreak/>
        <w:t>Bilješka 86.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4.259,97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7.031,17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165,1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 xml:space="preserve">Ostala potraživanja su veća na </w:t>
      </w:r>
      <w:proofErr w:type="spellStart"/>
      <w:r>
        <w:t>prethodu</w:t>
      </w:r>
      <w:proofErr w:type="spellEnd"/>
      <w:r>
        <w:t xml:space="preserve"> godinu zbog potraživanja refundacije bolovanja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87.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prihode poslovanja (šifre 161 do 163 + 164 do </w:t>
            </w:r>
            <w:r>
              <w:rPr>
                <w:sz w:val="18"/>
              </w:rPr>
              <w:t>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556,80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125.082,01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Potraživanja od nenadležnog proračuna za plaće i materijalna prava zaposlenika za 12.2025. godine.</w:t>
      </w:r>
    </w:p>
    <w:p w:rsidR="005C7409" w:rsidRDefault="00B72ABB">
      <w:r>
        <w:t>MZOM-metodološki manjak sredstava u iznosu od -131.201,34 € ( za prehranu učenika i isplate plaća za sve zaposlenike škole ).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88.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upravne</w:t>
            </w:r>
            <w:r>
              <w:rPr>
                <w:sz w:val="18"/>
              </w:rPr>
              <w:t xml:space="preserve"> i administrativne pristojbe, pristojbe po posebnim 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418,05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516,60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123,6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Potraživanja za upravne i administrativne pristojbe, pristojbe po posebnim propisima i naknada su veće pošto roditelji nisu podmirili svoja dugovanja za produženi boravak koji se odnosi na prosinac 2025. godine.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89.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prodaje proizvoda i robe te pruženih usluga i za 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251,4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 xml:space="preserve">potraživanja za prihode od prodaje </w:t>
      </w:r>
      <w:proofErr w:type="spellStart"/>
      <w:r>
        <w:t>prodaje</w:t>
      </w:r>
      <w:proofErr w:type="spellEnd"/>
      <w:r>
        <w:t xml:space="preserve"> proizvoda i robe te pružanih usluga i za povrat po protestiranim jamstvima su veće zbog toga što računi za naplatu od dvorane dolaze na naplatu u siječnju 2026.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90.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105.446,71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125.439,21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119,0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Obveze za zaposlene su veće zbog povećanja osnovice plaće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91.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financijske rashode (šifre 2341 do 2343)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221,82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33,5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Obveze za financijske rashode su manje zbog manjeg priljeva i odljeva financijskih sredstava 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92.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1. </w:t>
            </w:r>
            <w:r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ostale financijske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221,82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33,5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Obveze za financijske rashode su manje zbog manjeg priljeva i odljeva financijskih sredstava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93.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17.627,67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19.871,77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112,7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Obveze za predujmove su se povećale zbog jamstva za izvršene radove u matičnoj školi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lastRenderedPageBreak/>
        <w:t>Bilješka 94.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-3.170,33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-121.014,07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3817,1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 xml:space="preserve">Manjak prihoda i primitaka zbog već </w:t>
      </w:r>
      <w:proofErr w:type="spellStart"/>
      <w:r>
        <w:t>navednog</w:t>
      </w:r>
      <w:proofErr w:type="spellEnd"/>
      <w:r>
        <w:t xml:space="preserve"> načina knjiženja pokrit će se u siječnju 2026. godine dotacijom.</w:t>
      </w:r>
    </w:p>
    <w:p w:rsidR="005C7409" w:rsidRDefault="00B72ABB">
      <w:r>
        <w:t>Manjak prihoda poslovanja - 82.198,04 € </w:t>
      </w:r>
    </w:p>
    <w:p w:rsidR="005C7409" w:rsidRDefault="00B72ABB">
      <w:r>
        <w:t>Manjak prihoda od nefinancijske imovine -35.608,80 </w:t>
      </w:r>
    </w:p>
    <w:p w:rsidR="005C7409" w:rsidRDefault="00B72ABB">
      <w:r>
        <w:t>Ukupan manjak prihoda -117.806,84 €  </w:t>
      </w:r>
    </w:p>
    <w:p w:rsidR="005C7409" w:rsidRDefault="00B72ABB">
      <w:r>
        <w:t>PRENESENI MANJA</w:t>
      </w:r>
      <w:r>
        <w:t>K IZ 2024.g. – 3.207,23 €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95.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92221 do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3.170,33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121.014,07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3817,1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 xml:space="preserve">Manjak prihoda i primitaka zbog već </w:t>
      </w:r>
      <w:proofErr w:type="spellStart"/>
      <w:r>
        <w:t>navednog</w:t>
      </w:r>
      <w:proofErr w:type="spellEnd"/>
      <w:r>
        <w:t xml:space="preserve"> načina knjiženja pokrit će se u siječnju 2026. godine dotacijom.</w:t>
      </w:r>
    </w:p>
    <w:p w:rsidR="005C7409" w:rsidRDefault="00B72ABB">
      <w:r>
        <w:t>Manjak prihoda poslovanja - 82.198,04 € </w:t>
      </w:r>
    </w:p>
    <w:p w:rsidR="005C7409" w:rsidRDefault="00B72ABB">
      <w:r>
        <w:t>Manjak prihoda od nefinancijske imovine -35.608,80 </w:t>
      </w:r>
    </w:p>
    <w:p w:rsidR="005C7409" w:rsidRDefault="00B72ABB">
      <w:r>
        <w:t>Ukupan manjak prihoda -117.806,84 €  </w:t>
      </w:r>
    </w:p>
    <w:p w:rsidR="005C7409" w:rsidRDefault="00B72ABB">
      <w:r>
        <w:t>PRENESENI MANJA</w:t>
      </w:r>
      <w:r>
        <w:t>K IZ 2024.g. – 3.207,23 €</w:t>
      </w:r>
    </w:p>
    <w:p w:rsidR="005C7409" w:rsidRDefault="00B72ABB">
      <w:r>
        <w:t> 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96.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3.170,33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121.014,07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3817,1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 xml:space="preserve">Manjak prihoda i primitaka zbog već </w:t>
      </w:r>
      <w:proofErr w:type="spellStart"/>
      <w:r>
        <w:t>navednog</w:t>
      </w:r>
      <w:proofErr w:type="spellEnd"/>
      <w:r>
        <w:t xml:space="preserve"> načina knjiženja pokrit će se u siječnju 2026. godine dotacijom.</w:t>
      </w:r>
    </w:p>
    <w:p w:rsidR="005C7409" w:rsidRDefault="00B72ABB">
      <w:r>
        <w:t>Manjak prihoda poslovanja - 82.198,04 € </w:t>
      </w:r>
    </w:p>
    <w:p w:rsidR="005C7409" w:rsidRDefault="00B72ABB">
      <w:r>
        <w:lastRenderedPageBreak/>
        <w:t>Manjak prihoda od nefinancijske imovine -35.608,80 </w:t>
      </w:r>
    </w:p>
    <w:p w:rsidR="005C7409" w:rsidRDefault="00B72ABB">
      <w:r>
        <w:t>Ukupan manjak prihoda -117.806,84 €  </w:t>
      </w:r>
    </w:p>
    <w:p w:rsidR="005C7409" w:rsidRDefault="00B72ABB">
      <w:r>
        <w:t>PRENESENI MANJA</w:t>
      </w:r>
      <w:r>
        <w:t>K IZ 2024.g. – 3.207,23 €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97.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od upravnih i administrativnih pristojbi, pristojbi po posebnim propisima i naknada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418,05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516,60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123,6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Obračunati prihodi od upravnih i administrativnih pristojbi, pristojbi po posebnim propisima i naknada su veće zbog većih nepodmirenih obveza za naplatu produženog boravka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98.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251,4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Obračunati ostali prihodi su veći zbog većih nepodmirenih obveza za naplatu najma dvorane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99.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r>
              <w:rPr>
                <w:b/>
                <w:sz w:val="18"/>
              </w:rPr>
              <w:t>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Potencijalne obveze po osnovi sudskih sporova u tijeku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Škola nema  popis ugovornih odnosa i slično koji uz ispunjenje određenih uvjeta, mogu postati obveza ili imovina ( dana kreditna pisma, hipoteke i slično ).</w:t>
      </w:r>
    </w:p>
    <w:p w:rsidR="005C7409" w:rsidRDefault="00B72ABB">
      <w:r>
        <w:t>Škola također nema sudskih sporova.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rashodima prema funkcijskoj klasifikaciji</w:t>
      </w:r>
    </w:p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</w:t>
      </w:r>
      <w:r>
        <w:rPr>
          <w:sz w:val="28"/>
        </w:rPr>
        <w:t xml:space="preserve"> 100.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1.554.487,66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1.795.408,64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115,5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 xml:space="preserve">Iskazani su svi rashodi sa izdvojenim dijelom vezanim uz prehranu djece u školskoj kuhinji i produženom </w:t>
      </w:r>
      <w:proofErr w:type="spellStart"/>
      <w:r>
        <w:t>boravaku</w:t>
      </w:r>
      <w:proofErr w:type="spellEnd"/>
      <w:r>
        <w:t>.</w:t>
      </w:r>
    </w:p>
    <w:p w:rsidR="005C7409" w:rsidRDefault="00B72ABB">
      <w:r>
        <w:t> 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101.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Osnovno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1.552.097,45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1.794.556,75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115,6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Dodatne usluge u obrazovanju su veće zbog poskupljenja namirnica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102.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58.452,09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Člankom 121. novog pravilnika ispravak vrijednosti dugotrajne nefinancijske imovine provodi se preko promjena vrijednosti imovine te je knjiženo na konto 91511</w:t>
      </w:r>
    </w:p>
    <w:p w:rsidR="005C7409" w:rsidRDefault="00B72ABB">
      <w:r>
        <w:t> 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103.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Povećanje za donirane knjige konto 9152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104.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5C740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obveza na kraju izvještajnog razdoblja </w:t>
            </w:r>
            <w:r>
              <w:rPr>
                <w:sz w:val="18"/>
              </w:rPr>
              <w:t>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157.394,44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 xml:space="preserve">Obveze se odnose  na:  231 Obveze za zaposlene 12-2025 =125.439,21 eura 232 Obveze za materijalne rashode =12.009,22 eura 234 Obveze za financijske rashode =74,24 eura 272 obveze za depozite i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=234,90 eura 276 Obveze proračunskih korisnika </w:t>
      </w:r>
      <w:r>
        <w:t>za povrat u proračun  =19.636,87 euro</w:t>
      </w:r>
    </w:p>
    <w:p w:rsidR="005C7409" w:rsidRDefault="00B72ABB">
      <w:r>
        <w:t> 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105.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5C7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74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5C740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C7409" w:rsidRDefault="00B72AB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C7409" w:rsidRDefault="005C7409">
      <w:pPr>
        <w:spacing w:after="0"/>
      </w:pPr>
    </w:p>
    <w:p w:rsidR="005C7409" w:rsidRDefault="00B72ABB">
      <w:r>
        <w:t>Škola nema dospjelih obveza na kraju izvještajnog razdoblja.</w:t>
      </w:r>
    </w:p>
    <w:p w:rsidR="005C7409" w:rsidRDefault="005C7409"/>
    <w:p w:rsidR="005C7409" w:rsidRDefault="00B72ABB">
      <w:pPr>
        <w:keepNext/>
        <w:spacing w:line="240" w:lineRule="auto"/>
        <w:jc w:val="center"/>
      </w:pPr>
      <w:r>
        <w:rPr>
          <w:sz w:val="28"/>
        </w:rPr>
        <w:t>Bilješka 106.</w:t>
      </w:r>
    </w:p>
    <w:p w:rsidR="005C7409" w:rsidRDefault="00B72ABB">
      <w:pPr>
        <w:spacing w:line="240" w:lineRule="auto"/>
        <w:jc w:val="both"/>
      </w:pPr>
      <w:r>
        <w:rPr>
          <w:b/>
        </w:rPr>
        <w:t>EU izvještaj</w:t>
      </w:r>
    </w:p>
    <w:p w:rsidR="005C7409" w:rsidRDefault="00B72ABB">
      <w:r>
        <w:t>Škola sudjeluje u projektu " i ti možeš" SF.2.4.06.06.0039 - Asistenti u nastavi </w:t>
      </w:r>
    </w:p>
    <w:p w:rsidR="005C7409" w:rsidRDefault="005C7409"/>
    <w:sectPr w:rsidR="005C7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09"/>
    <w:rsid w:val="005C7409"/>
    <w:rsid w:val="00B7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B3824-71D3-48B8-96C2-50FD6780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2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2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5948</Words>
  <Characters>33909</Characters>
  <Application>Microsoft Office Word</Application>
  <DocSecurity>0</DocSecurity>
  <Lines>282</Lines>
  <Paragraphs>79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Karolina Kogl -  Horvat</cp:lastModifiedBy>
  <cp:revision>2</cp:revision>
  <cp:lastPrinted>2026-02-02T09:18:00Z</cp:lastPrinted>
  <dcterms:created xsi:type="dcterms:W3CDTF">2026-02-02T09:18:00Z</dcterms:created>
  <dcterms:modified xsi:type="dcterms:W3CDTF">2026-02-02T09:18:00Z</dcterms:modified>
</cp:coreProperties>
</file>